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66F87" w14:textId="39BE00E5" w:rsidR="001105F1" w:rsidRPr="000A519F" w:rsidRDefault="001105F1" w:rsidP="001105F1">
      <w:pPr>
        <w:jc w:val="center"/>
        <w:rPr>
          <w:rFonts w:ascii="Arial" w:hAnsi="Arial" w:cs="Arial"/>
          <w:b/>
          <w:sz w:val="44"/>
          <w:szCs w:val="48"/>
        </w:rPr>
      </w:pPr>
      <w:bookmarkStart w:id="0" w:name="RANGE!B3:H53"/>
      <w:bookmarkStart w:id="1" w:name="_Toc506209587"/>
      <w:bookmarkStart w:id="2" w:name="_GoBack"/>
      <w:bookmarkEnd w:id="0"/>
      <w:bookmarkEnd w:id="2"/>
      <w:r w:rsidRPr="00462766">
        <w:rPr>
          <w:rFonts w:ascii="Arial" w:hAnsi="Arial" w:cs="Arial"/>
          <w:b/>
          <w:sz w:val="44"/>
          <w:szCs w:val="48"/>
        </w:rPr>
        <w:t xml:space="preserve">Request for </w:t>
      </w:r>
      <w:r w:rsidR="00497BE6" w:rsidRPr="00462766">
        <w:rPr>
          <w:rFonts w:ascii="Arial" w:hAnsi="Arial" w:cs="Arial"/>
          <w:b/>
          <w:sz w:val="44"/>
          <w:szCs w:val="48"/>
        </w:rPr>
        <w:t>Qualifications</w:t>
      </w:r>
      <w:r w:rsidRPr="00462766">
        <w:rPr>
          <w:rFonts w:ascii="Arial" w:hAnsi="Arial" w:cs="Arial"/>
          <w:b/>
          <w:sz w:val="44"/>
          <w:szCs w:val="48"/>
        </w:rPr>
        <w:t xml:space="preserve"> #</w:t>
      </w:r>
      <w:r w:rsidR="000A519F" w:rsidRPr="00462766">
        <w:rPr>
          <w:rFonts w:ascii="Arial" w:hAnsi="Arial" w:cs="Arial"/>
          <w:b/>
          <w:sz w:val="44"/>
          <w:szCs w:val="48"/>
        </w:rPr>
        <w:t>20</w:t>
      </w:r>
      <w:r w:rsidR="00462766" w:rsidRPr="00462766">
        <w:rPr>
          <w:rFonts w:ascii="Arial" w:hAnsi="Arial" w:cs="Arial"/>
          <w:b/>
          <w:sz w:val="44"/>
          <w:szCs w:val="48"/>
        </w:rPr>
        <w:t>20</w:t>
      </w:r>
      <w:r w:rsidRPr="00462766">
        <w:rPr>
          <w:rFonts w:ascii="Arial" w:hAnsi="Arial" w:cs="Arial"/>
          <w:b/>
          <w:sz w:val="44"/>
          <w:szCs w:val="48"/>
        </w:rPr>
        <w:t>-BH</w:t>
      </w:r>
      <w:r w:rsidR="00462766" w:rsidRPr="00462766">
        <w:rPr>
          <w:rFonts w:ascii="Arial" w:hAnsi="Arial" w:cs="Arial"/>
          <w:b/>
          <w:sz w:val="44"/>
          <w:szCs w:val="48"/>
        </w:rPr>
        <w:t>01</w:t>
      </w:r>
      <w:r w:rsidRPr="00462766">
        <w:rPr>
          <w:rFonts w:ascii="Arial" w:hAnsi="Arial" w:cs="Arial"/>
          <w:b/>
          <w:sz w:val="44"/>
          <w:szCs w:val="48"/>
        </w:rPr>
        <w:t>:</w:t>
      </w:r>
    </w:p>
    <w:p w14:paraId="752F1C92" w14:textId="77777777" w:rsidR="00AE4035" w:rsidRPr="000A519F" w:rsidRDefault="00AE4035" w:rsidP="00AE4035">
      <w:pPr>
        <w:jc w:val="center"/>
        <w:outlineLvl w:val="0"/>
        <w:rPr>
          <w:rFonts w:ascii="Arial" w:hAnsi="Arial" w:cs="Arial"/>
          <w:b/>
          <w:noProof/>
          <w:sz w:val="40"/>
          <w:szCs w:val="40"/>
        </w:rPr>
      </w:pPr>
      <w:r w:rsidRPr="000A519F">
        <w:rPr>
          <w:rFonts w:ascii="Arial" w:hAnsi="Arial" w:cs="Arial"/>
          <w:b/>
          <w:noProof/>
          <w:sz w:val="40"/>
          <w:szCs w:val="40"/>
        </w:rPr>
        <w:t xml:space="preserve">Solano County Health &amp; Social Services: </w:t>
      </w:r>
    </w:p>
    <w:p w14:paraId="2B68139D" w14:textId="77777777" w:rsidR="00AE4035" w:rsidRPr="007614F5" w:rsidRDefault="00AE4035" w:rsidP="00AE4035">
      <w:pPr>
        <w:jc w:val="center"/>
        <w:outlineLvl w:val="0"/>
        <w:rPr>
          <w:rFonts w:ascii="Arial" w:hAnsi="Arial" w:cs="Arial"/>
          <w:b/>
          <w:sz w:val="40"/>
          <w:szCs w:val="40"/>
        </w:rPr>
      </w:pPr>
      <w:r w:rsidRPr="000A519F">
        <w:rPr>
          <w:rFonts w:ascii="Arial" w:hAnsi="Arial" w:cs="Arial"/>
          <w:b/>
          <w:noProof/>
          <w:sz w:val="40"/>
          <w:szCs w:val="40"/>
        </w:rPr>
        <w:t>Behavioral Health D</w:t>
      </w:r>
      <w:r w:rsidRPr="007614F5">
        <w:rPr>
          <w:rFonts w:ascii="Arial" w:hAnsi="Arial" w:cs="Arial"/>
          <w:b/>
          <w:noProof/>
          <w:sz w:val="40"/>
          <w:szCs w:val="40"/>
        </w:rPr>
        <w:t>ivision</w:t>
      </w:r>
      <w:r w:rsidRPr="007614F5">
        <w:rPr>
          <w:rFonts w:ascii="Arial" w:hAnsi="Arial" w:cs="Arial"/>
          <w:b/>
          <w:sz w:val="40"/>
          <w:szCs w:val="40"/>
        </w:rPr>
        <w:t xml:space="preserve"> </w:t>
      </w:r>
    </w:p>
    <w:p w14:paraId="336D513E" w14:textId="77777777" w:rsidR="00497BE6" w:rsidRDefault="00497BE6" w:rsidP="00497BE6">
      <w:pPr>
        <w:keepNext/>
        <w:jc w:val="center"/>
        <w:outlineLvl w:val="4"/>
        <w:rPr>
          <w:rFonts w:ascii="Arial" w:hAnsi="Arial"/>
          <w:b/>
        </w:rPr>
      </w:pPr>
      <w:bookmarkStart w:id="3" w:name="_Hlk26879599"/>
      <w:r>
        <w:rPr>
          <w:rFonts w:ascii="Arial" w:hAnsi="Arial"/>
          <w:b/>
        </w:rPr>
        <w:t xml:space="preserve">EARLY AND PERIODIC SCREENING, DIAGNOSIS, AND TREATMENT (EPSDT)                  </w:t>
      </w:r>
    </w:p>
    <w:p w14:paraId="27725E68" w14:textId="4AB9F9BC" w:rsidR="00497BE6" w:rsidRDefault="00497BE6" w:rsidP="00497BE6">
      <w:pPr>
        <w:keepNext/>
        <w:jc w:val="center"/>
        <w:outlineLvl w:val="4"/>
        <w:rPr>
          <w:rFonts w:ascii="Arial" w:eastAsia="Times New Roman" w:hAnsi="Arial"/>
          <w:b/>
        </w:rPr>
      </w:pPr>
      <w:r>
        <w:rPr>
          <w:rFonts w:ascii="Arial" w:hAnsi="Arial"/>
          <w:b/>
        </w:rPr>
        <w:t xml:space="preserve">MENTAL HEALTH SERVICES FOR CHILDREN AGES </w:t>
      </w:r>
      <w:bookmarkEnd w:id="3"/>
      <w:r w:rsidR="00872A88">
        <w:rPr>
          <w:rFonts w:ascii="Arial" w:hAnsi="Arial"/>
          <w:b/>
        </w:rPr>
        <w:t>0-5</w:t>
      </w:r>
    </w:p>
    <w:p w14:paraId="64883273" w14:textId="15F78287" w:rsidR="00860F2D" w:rsidRDefault="007B4513" w:rsidP="00860F2D">
      <w:pPr>
        <w:pStyle w:val="Heading1"/>
        <w:spacing w:before="120" w:line="264" w:lineRule="auto"/>
        <w:jc w:val="center"/>
        <w:rPr>
          <w:rFonts w:ascii="Arial" w:hAnsi="Arial" w:cs="Arial"/>
          <w:b/>
          <w:color w:val="auto"/>
          <w:sz w:val="28"/>
          <w:u w:val="single"/>
        </w:rPr>
      </w:pPr>
      <w:r w:rsidRPr="007614F5">
        <w:rPr>
          <w:rFonts w:ascii="Arial" w:hAnsi="Arial" w:cs="Arial"/>
          <w:b/>
          <w:color w:val="auto"/>
          <w:sz w:val="28"/>
          <w:u w:val="single"/>
        </w:rPr>
        <w:t>A</w:t>
      </w:r>
      <w:r w:rsidR="00860F2D" w:rsidRPr="007614F5">
        <w:rPr>
          <w:rFonts w:ascii="Arial" w:hAnsi="Arial" w:cs="Arial"/>
          <w:b/>
          <w:color w:val="auto"/>
          <w:sz w:val="28"/>
          <w:u w:val="single"/>
        </w:rPr>
        <w:t xml:space="preserve">TTACHMENT </w:t>
      </w:r>
      <w:r w:rsidR="00F8475E" w:rsidRPr="007614F5">
        <w:rPr>
          <w:rFonts w:ascii="Arial" w:hAnsi="Arial" w:cs="Arial"/>
          <w:b/>
          <w:color w:val="auto"/>
          <w:sz w:val="28"/>
          <w:u w:val="single"/>
        </w:rPr>
        <w:t>D</w:t>
      </w:r>
      <w:r w:rsidR="00860F2D" w:rsidRPr="007614F5">
        <w:rPr>
          <w:rFonts w:ascii="Arial" w:hAnsi="Arial" w:cs="Arial"/>
          <w:b/>
          <w:color w:val="auto"/>
          <w:sz w:val="28"/>
          <w:u w:val="single"/>
        </w:rPr>
        <w:t>: BUDGET NARRATIVE</w:t>
      </w:r>
      <w:bookmarkEnd w:id="1"/>
    </w:p>
    <w:p w14:paraId="53573E8C" w14:textId="77777777" w:rsidR="00512B47" w:rsidRPr="00512B47" w:rsidRDefault="00512B47" w:rsidP="00512B47"/>
    <w:p w14:paraId="21105AC9" w14:textId="79CC09CF" w:rsidR="00C856CD" w:rsidRPr="00512B47" w:rsidRDefault="00512B47" w:rsidP="00512B47">
      <w:pPr>
        <w:rPr>
          <w:b/>
          <w:bCs/>
          <w:sz w:val="24"/>
        </w:rPr>
      </w:pPr>
      <w:r w:rsidRPr="00512B47">
        <w:rPr>
          <w:b/>
          <w:bCs/>
          <w:sz w:val="24"/>
        </w:rPr>
        <w:t>Instructions: 4-page maximum</w:t>
      </w:r>
      <w:r>
        <w:rPr>
          <w:b/>
          <w:bCs/>
          <w:sz w:val="24"/>
        </w:rPr>
        <w:t xml:space="preserve">. </w:t>
      </w:r>
      <w:r>
        <w:rPr>
          <w:rFonts w:ascii="Arial" w:eastAsia="Arial" w:hAnsi="Arial" w:cs="Arial"/>
          <w:b/>
          <w:sz w:val="22"/>
          <w:szCs w:val="24"/>
        </w:rPr>
        <w:t>Please note that the budget worksheets and budget narrative will assist the review panel and county in determining potential contract caps for fee for service budgets.</w:t>
      </w:r>
    </w:p>
    <w:tbl>
      <w:tblPr>
        <w:tblStyle w:val="TableGrid"/>
        <w:tblW w:w="9508" w:type="dxa"/>
        <w:tblLayout w:type="fixed"/>
        <w:tblCellMar>
          <w:left w:w="58" w:type="dxa"/>
          <w:right w:w="58" w:type="dxa"/>
        </w:tblCellMar>
        <w:tblLook w:val="04A0" w:firstRow="1" w:lastRow="0" w:firstColumn="1" w:lastColumn="0" w:noHBand="0" w:noVBand="1"/>
      </w:tblPr>
      <w:tblGrid>
        <w:gridCol w:w="1165"/>
        <w:gridCol w:w="8343"/>
      </w:tblGrid>
      <w:tr w:rsidR="0094521F" w:rsidRPr="007479E0" w14:paraId="5D9091DD" w14:textId="77777777" w:rsidTr="00462766">
        <w:trPr>
          <w:trHeight w:val="431"/>
        </w:trPr>
        <w:tc>
          <w:tcPr>
            <w:tcW w:w="1165" w:type="dxa"/>
            <w:shd w:val="clear" w:color="auto" w:fill="B4C6E7" w:themeFill="accent1" w:themeFillTint="66"/>
            <w:vAlign w:val="center"/>
          </w:tcPr>
          <w:p w14:paraId="615F72AF" w14:textId="3CF64F28" w:rsidR="0094521F" w:rsidRPr="0094521F" w:rsidRDefault="0094521F" w:rsidP="0094521F">
            <w:pPr>
              <w:pStyle w:val="ListParagraph"/>
              <w:numPr>
                <w:ilvl w:val="0"/>
                <w:numId w:val="19"/>
              </w:numPr>
              <w:spacing w:line="276" w:lineRule="auto"/>
              <w:jc w:val="center"/>
              <w:rPr>
                <w:rFonts w:ascii="Arial" w:eastAsia="Arial" w:hAnsi="Arial" w:cs="Arial"/>
                <w:b/>
                <w:color w:val="1A1A1A"/>
                <w:sz w:val="52"/>
                <w:szCs w:val="52"/>
              </w:rPr>
            </w:pPr>
            <w:r w:rsidRPr="0094521F">
              <w:rPr>
                <w:rFonts w:ascii="Arial" w:eastAsia="Arial" w:hAnsi="Arial" w:cs="Arial"/>
                <w:color w:val="1A1A1A"/>
                <w:sz w:val="22"/>
                <w:szCs w:val="24"/>
              </w:rPr>
              <w:t xml:space="preserve"> </w:t>
            </w:r>
          </w:p>
        </w:tc>
        <w:tc>
          <w:tcPr>
            <w:tcW w:w="8343" w:type="dxa"/>
            <w:vAlign w:val="center"/>
          </w:tcPr>
          <w:p w14:paraId="237616D6" w14:textId="0456DDE5" w:rsidR="0094521F" w:rsidRPr="0094521F" w:rsidRDefault="0094521F" w:rsidP="0094521F">
            <w:pPr>
              <w:autoSpaceDE w:val="0"/>
              <w:autoSpaceDN w:val="0"/>
              <w:adjustRightInd w:val="0"/>
              <w:spacing w:after="0" w:line="240" w:lineRule="auto"/>
              <w:rPr>
                <w:rFonts w:ascii="Arial" w:hAnsi="Arial" w:cs="Arial"/>
                <w:color w:val="000000"/>
                <w:sz w:val="22"/>
                <w:szCs w:val="22"/>
              </w:rPr>
            </w:pPr>
            <w:r w:rsidRPr="0094521F">
              <w:rPr>
                <w:rFonts w:ascii="Arial" w:eastAsia="Arial" w:hAnsi="Arial" w:cs="Arial"/>
                <w:color w:val="1A1A1A"/>
                <w:sz w:val="22"/>
                <w:szCs w:val="22"/>
              </w:rPr>
              <w:t>Staff Salaries: For each staff position listed on the Budget Worksheet, explain how the salaries were determined and provide support for the stated salary. For example, state the classification and provide the published salary range for the employee in the stated classification</w:t>
            </w:r>
            <w:r w:rsidRPr="0094521F">
              <w:rPr>
                <w:rFonts w:ascii="Arial" w:eastAsia="Arial" w:hAnsi="Arial" w:cs="Arial"/>
                <w:sz w:val="22"/>
                <w:szCs w:val="22"/>
              </w:rPr>
              <w:t>;</w:t>
            </w:r>
            <w:r w:rsidRPr="0094521F">
              <w:rPr>
                <w:rFonts w:ascii="Arial" w:hAnsi="Arial" w:cs="Arial"/>
                <w:color w:val="000000"/>
                <w:sz w:val="22"/>
                <w:szCs w:val="22"/>
              </w:rPr>
              <w:t xml:space="preserve"> Must include positions and “FTE” (actual percentage of time devoted to the project) for each position of staff employees allocated to the program. </w:t>
            </w:r>
          </w:p>
          <w:p w14:paraId="07803C28" w14:textId="7F3E0126" w:rsidR="0094521F" w:rsidRPr="0094521F" w:rsidRDefault="0094521F" w:rsidP="0094521F">
            <w:pPr>
              <w:spacing w:after="0" w:line="240" w:lineRule="auto"/>
              <w:rPr>
                <w:rFonts w:ascii="Arial" w:eastAsia="Arial" w:hAnsi="Arial" w:cs="Arial"/>
                <w:color w:val="1A1A1A"/>
                <w:sz w:val="22"/>
                <w:szCs w:val="22"/>
              </w:rPr>
            </w:pPr>
          </w:p>
        </w:tc>
      </w:tr>
      <w:tr w:rsidR="0094521F" w:rsidRPr="007479E0" w14:paraId="34D812FD" w14:textId="77777777" w:rsidTr="00462766">
        <w:trPr>
          <w:trHeight w:val="835"/>
        </w:trPr>
        <w:tc>
          <w:tcPr>
            <w:tcW w:w="1165" w:type="dxa"/>
            <w:shd w:val="clear" w:color="auto" w:fill="B4C6E7" w:themeFill="accent1" w:themeFillTint="66"/>
            <w:vAlign w:val="center"/>
          </w:tcPr>
          <w:p w14:paraId="794BC4CA" w14:textId="50477BDC" w:rsidR="0094521F" w:rsidRPr="0094521F" w:rsidRDefault="0094521F" w:rsidP="0094521F">
            <w:pPr>
              <w:pStyle w:val="ListParagraph"/>
              <w:numPr>
                <w:ilvl w:val="0"/>
                <w:numId w:val="19"/>
              </w:numPr>
              <w:spacing w:line="276" w:lineRule="auto"/>
              <w:jc w:val="center"/>
              <w:rPr>
                <w:rFonts w:ascii="Arial" w:hAnsi="Arial" w:cs="Arial"/>
                <w:sz w:val="28"/>
                <w:szCs w:val="24"/>
              </w:rPr>
            </w:pPr>
          </w:p>
        </w:tc>
        <w:tc>
          <w:tcPr>
            <w:tcW w:w="8343" w:type="dxa"/>
            <w:vAlign w:val="center"/>
          </w:tcPr>
          <w:p w14:paraId="7AEAF739" w14:textId="43A3316F" w:rsidR="0094521F" w:rsidRPr="0094521F" w:rsidRDefault="0094521F" w:rsidP="0094521F">
            <w:pPr>
              <w:autoSpaceDE w:val="0"/>
              <w:autoSpaceDN w:val="0"/>
              <w:adjustRightInd w:val="0"/>
              <w:spacing w:after="0" w:line="240" w:lineRule="auto"/>
              <w:rPr>
                <w:rFonts w:ascii="Arial" w:hAnsi="Arial" w:cs="Arial"/>
                <w:color w:val="000000"/>
                <w:sz w:val="22"/>
                <w:szCs w:val="22"/>
              </w:rPr>
            </w:pPr>
            <w:r w:rsidRPr="0094521F">
              <w:rPr>
                <w:rFonts w:ascii="Arial" w:hAnsi="Arial" w:cs="Arial"/>
                <w:color w:val="000000"/>
                <w:sz w:val="22"/>
                <w:szCs w:val="22"/>
              </w:rPr>
              <w:t xml:space="preserve">Describe employer's contributions or expenses for social security, employee's life and health insurance plans, unemployment insurance, pension plans, and other similar expenses. These expenses are allowable when they are included in the contract and are in accordance with the agency's approved written policies. </w:t>
            </w:r>
          </w:p>
          <w:p w14:paraId="231B4670" w14:textId="77777777" w:rsidR="0094521F" w:rsidRPr="0094521F" w:rsidRDefault="0094521F" w:rsidP="0094521F">
            <w:pPr>
              <w:autoSpaceDE w:val="0"/>
              <w:autoSpaceDN w:val="0"/>
              <w:adjustRightInd w:val="0"/>
              <w:spacing w:after="0" w:line="240" w:lineRule="auto"/>
              <w:rPr>
                <w:rFonts w:ascii="Arial" w:hAnsi="Arial" w:cs="Arial"/>
                <w:color w:val="000000"/>
                <w:sz w:val="22"/>
                <w:szCs w:val="22"/>
              </w:rPr>
            </w:pPr>
          </w:p>
          <w:p w14:paraId="6869EC8F" w14:textId="77777777" w:rsidR="0094521F" w:rsidRPr="0094521F" w:rsidRDefault="0094521F" w:rsidP="0094521F">
            <w:pPr>
              <w:autoSpaceDE w:val="0"/>
              <w:autoSpaceDN w:val="0"/>
              <w:adjustRightInd w:val="0"/>
              <w:spacing w:after="0" w:line="240" w:lineRule="auto"/>
              <w:rPr>
                <w:rFonts w:ascii="Arial" w:hAnsi="Arial" w:cs="Arial"/>
                <w:color w:val="000000"/>
                <w:sz w:val="22"/>
                <w:szCs w:val="22"/>
              </w:rPr>
            </w:pPr>
            <w:r w:rsidRPr="0094521F">
              <w:rPr>
                <w:rFonts w:ascii="Arial" w:hAnsi="Arial" w:cs="Arial"/>
                <w:color w:val="000000"/>
                <w:sz w:val="22"/>
                <w:szCs w:val="22"/>
              </w:rPr>
              <w:t xml:space="preserve">NOTE: Salary and fringe benefits must be pro-rated for non-full-time employees, if agency provides fringe benefits to part time employees. Salaries and Benefits of personnel involved in more than one program must be charged to each program based on the actual percentage of time spent on each program. The annualized actual percentage charged for a </w:t>
            </w:r>
            <w:proofErr w:type="gramStart"/>
            <w:r w:rsidRPr="0094521F">
              <w:rPr>
                <w:rFonts w:ascii="Arial" w:hAnsi="Arial" w:cs="Arial"/>
                <w:color w:val="000000"/>
                <w:sz w:val="22"/>
                <w:szCs w:val="22"/>
              </w:rPr>
              <w:t>particular position</w:t>
            </w:r>
            <w:proofErr w:type="gramEnd"/>
            <w:r w:rsidRPr="0094521F">
              <w:rPr>
                <w:rFonts w:ascii="Arial" w:hAnsi="Arial" w:cs="Arial"/>
                <w:color w:val="000000"/>
                <w:sz w:val="22"/>
                <w:szCs w:val="22"/>
              </w:rPr>
              <w:t xml:space="preserve"> (e.g., Project Director) cannot exceed the annual percentage approved in the award. Similarly, the dollar amount charged for a </w:t>
            </w:r>
            <w:proofErr w:type="gramStart"/>
            <w:r w:rsidRPr="0094521F">
              <w:rPr>
                <w:rFonts w:ascii="Arial" w:hAnsi="Arial" w:cs="Arial"/>
                <w:color w:val="000000"/>
                <w:sz w:val="22"/>
                <w:szCs w:val="22"/>
              </w:rPr>
              <w:t>particular position</w:t>
            </w:r>
            <w:proofErr w:type="gramEnd"/>
            <w:r w:rsidRPr="0094521F">
              <w:rPr>
                <w:rFonts w:ascii="Arial" w:hAnsi="Arial" w:cs="Arial"/>
                <w:color w:val="000000"/>
                <w:sz w:val="22"/>
                <w:szCs w:val="22"/>
              </w:rPr>
              <w:t xml:space="preserve"> also must not exceed the dollar amount in the approved award. Functional timesheets or an allocation plan must be maintained which support the time charged. </w:t>
            </w:r>
          </w:p>
          <w:p w14:paraId="6346F955" w14:textId="4B4DC128" w:rsidR="0094521F" w:rsidRPr="0094521F" w:rsidRDefault="0094521F" w:rsidP="0094521F">
            <w:pPr>
              <w:spacing w:after="0" w:line="240" w:lineRule="auto"/>
              <w:rPr>
                <w:rFonts w:ascii="Arial" w:hAnsi="Arial" w:cs="Arial"/>
                <w:sz w:val="22"/>
                <w:szCs w:val="22"/>
              </w:rPr>
            </w:pPr>
          </w:p>
        </w:tc>
      </w:tr>
      <w:tr w:rsidR="0094521F" w:rsidRPr="007479E0" w14:paraId="10994CE8" w14:textId="77777777" w:rsidTr="00462766">
        <w:trPr>
          <w:trHeight w:val="835"/>
        </w:trPr>
        <w:tc>
          <w:tcPr>
            <w:tcW w:w="1165" w:type="dxa"/>
            <w:shd w:val="clear" w:color="auto" w:fill="B4C6E7" w:themeFill="accent1" w:themeFillTint="66"/>
            <w:vAlign w:val="center"/>
          </w:tcPr>
          <w:p w14:paraId="4F63F490" w14:textId="616787F4" w:rsidR="0094521F" w:rsidRPr="0094521F" w:rsidRDefault="0094521F" w:rsidP="0094521F">
            <w:pPr>
              <w:pStyle w:val="ListParagraph"/>
              <w:numPr>
                <w:ilvl w:val="0"/>
                <w:numId w:val="19"/>
              </w:numPr>
              <w:spacing w:line="276" w:lineRule="auto"/>
              <w:jc w:val="center"/>
              <w:rPr>
                <w:rFonts w:ascii="Arial" w:hAnsi="Arial" w:cs="Arial"/>
                <w:sz w:val="28"/>
                <w:szCs w:val="24"/>
              </w:rPr>
            </w:pPr>
          </w:p>
        </w:tc>
        <w:tc>
          <w:tcPr>
            <w:tcW w:w="8343" w:type="dxa"/>
            <w:vAlign w:val="center"/>
          </w:tcPr>
          <w:p w14:paraId="672D7537" w14:textId="77432917" w:rsidR="0094521F" w:rsidRPr="0094521F" w:rsidRDefault="0094521F" w:rsidP="0094521F">
            <w:pPr>
              <w:autoSpaceDE w:val="0"/>
              <w:autoSpaceDN w:val="0"/>
              <w:adjustRightInd w:val="0"/>
              <w:spacing w:after="0" w:line="240" w:lineRule="auto"/>
              <w:rPr>
                <w:rFonts w:ascii="Arial" w:hAnsi="Arial" w:cs="Arial"/>
                <w:color w:val="000000"/>
                <w:sz w:val="22"/>
                <w:szCs w:val="22"/>
              </w:rPr>
            </w:pPr>
            <w:r w:rsidRPr="0094521F">
              <w:rPr>
                <w:rFonts w:ascii="Arial" w:hAnsi="Arial" w:cs="Arial"/>
                <w:color w:val="000000"/>
                <w:sz w:val="22"/>
                <w:szCs w:val="22"/>
              </w:rPr>
              <w:t xml:space="preserve">Describe necessary expenditures exclusive of personnel salaries and benefits. Such expenses include all costs associated with the delivery of the program. The expenses must be program-related (i.e., to further the program objectives) and be incurred during the contract period. County reserves the right to make the final determination if an operating expense is allowable and necessary. </w:t>
            </w:r>
          </w:p>
          <w:p w14:paraId="2383C13F" w14:textId="77777777" w:rsidR="0094521F" w:rsidRPr="0094521F" w:rsidRDefault="0094521F" w:rsidP="0094521F">
            <w:pPr>
              <w:spacing w:after="0" w:line="240" w:lineRule="auto"/>
              <w:rPr>
                <w:rFonts w:ascii="Arial" w:hAnsi="Arial" w:cs="Arial"/>
                <w:sz w:val="22"/>
                <w:szCs w:val="22"/>
              </w:rPr>
            </w:pPr>
          </w:p>
        </w:tc>
      </w:tr>
      <w:tr w:rsidR="0094521F" w:rsidRPr="007479E0" w14:paraId="65A0A599" w14:textId="77777777" w:rsidTr="00462766">
        <w:trPr>
          <w:trHeight w:val="835"/>
        </w:trPr>
        <w:tc>
          <w:tcPr>
            <w:tcW w:w="1165" w:type="dxa"/>
            <w:shd w:val="clear" w:color="auto" w:fill="B4C6E7" w:themeFill="accent1" w:themeFillTint="66"/>
            <w:vAlign w:val="center"/>
          </w:tcPr>
          <w:p w14:paraId="433BC92A" w14:textId="5BD77E18" w:rsidR="0094521F" w:rsidRPr="0094521F" w:rsidRDefault="0094521F" w:rsidP="0094521F">
            <w:pPr>
              <w:pStyle w:val="ListParagraph"/>
              <w:numPr>
                <w:ilvl w:val="0"/>
                <w:numId w:val="19"/>
              </w:numPr>
              <w:spacing w:before="120"/>
              <w:jc w:val="center"/>
              <w:rPr>
                <w:rFonts w:ascii="Arial" w:hAnsi="Arial" w:cs="Arial"/>
                <w:sz w:val="28"/>
                <w:szCs w:val="24"/>
              </w:rPr>
            </w:pPr>
          </w:p>
        </w:tc>
        <w:tc>
          <w:tcPr>
            <w:tcW w:w="8343" w:type="dxa"/>
            <w:vAlign w:val="center"/>
          </w:tcPr>
          <w:p w14:paraId="6DAD5A5E" w14:textId="5D03FE68" w:rsidR="0094521F" w:rsidRPr="0094521F" w:rsidRDefault="0094521F" w:rsidP="0094521F">
            <w:pPr>
              <w:spacing w:after="0" w:line="240" w:lineRule="auto"/>
              <w:contextualSpacing/>
              <w:rPr>
                <w:rFonts w:ascii="Arial" w:hAnsi="Arial" w:cs="Arial"/>
                <w:b/>
                <w:sz w:val="22"/>
                <w:szCs w:val="22"/>
              </w:rPr>
            </w:pPr>
            <w:r w:rsidRPr="0094521F">
              <w:rPr>
                <w:rFonts w:ascii="Arial" w:hAnsi="Arial" w:cs="Arial"/>
                <w:sz w:val="22"/>
                <w:szCs w:val="22"/>
              </w:rPr>
              <w:t>Describe any subcontractor c</w:t>
            </w:r>
            <w:r w:rsidRPr="0094521F">
              <w:rPr>
                <w:rFonts w:ascii="Arial" w:hAnsi="Arial" w:cs="Arial"/>
                <w:color w:val="000000"/>
                <w:sz w:val="22"/>
                <w:szCs w:val="22"/>
              </w:rPr>
              <w:t xml:space="preserve">osts associated with contracts secured by the lead agency (if applicable) for work to carry out activities in the proposal. Proposals may include up to 2 subcontractors who may not make up more than 25% of the budget. </w:t>
            </w:r>
            <w:r w:rsidRPr="0094521F">
              <w:rPr>
                <w:rFonts w:ascii="Arial" w:hAnsi="Arial" w:cs="Arial"/>
                <w:sz w:val="22"/>
                <w:szCs w:val="22"/>
              </w:rPr>
              <w:t>If the Potential Contractor plans to utilize a subcontractor, the subcontractor summary budget must also be included.</w:t>
            </w:r>
          </w:p>
          <w:p w14:paraId="1BCB69A5" w14:textId="2568250B" w:rsidR="0094521F" w:rsidRPr="0094521F" w:rsidRDefault="0094521F" w:rsidP="0094521F">
            <w:pPr>
              <w:spacing w:after="0" w:line="240" w:lineRule="auto"/>
              <w:rPr>
                <w:rFonts w:ascii="Arial" w:hAnsi="Arial" w:cs="Arial"/>
                <w:sz w:val="22"/>
                <w:szCs w:val="22"/>
              </w:rPr>
            </w:pPr>
          </w:p>
        </w:tc>
      </w:tr>
      <w:tr w:rsidR="0094521F" w:rsidRPr="007479E0" w14:paraId="25782193" w14:textId="77777777" w:rsidTr="00462766">
        <w:trPr>
          <w:trHeight w:val="1034"/>
        </w:trPr>
        <w:tc>
          <w:tcPr>
            <w:tcW w:w="1165" w:type="dxa"/>
            <w:shd w:val="clear" w:color="auto" w:fill="B4C6E7" w:themeFill="accent1" w:themeFillTint="66"/>
            <w:vAlign w:val="center"/>
          </w:tcPr>
          <w:p w14:paraId="2A327147" w14:textId="750D527B" w:rsidR="0094521F" w:rsidRPr="0094521F" w:rsidRDefault="0094521F" w:rsidP="0094521F">
            <w:pPr>
              <w:pStyle w:val="ListParagraph"/>
              <w:numPr>
                <w:ilvl w:val="0"/>
                <w:numId w:val="19"/>
              </w:numPr>
              <w:spacing w:line="276" w:lineRule="auto"/>
              <w:jc w:val="center"/>
              <w:rPr>
                <w:rFonts w:ascii="Arial" w:eastAsia="Arial" w:hAnsi="Arial" w:cs="Arial"/>
                <w:sz w:val="28"/>
                <w:szCs w:val="24"/>
              </w:rPr>
            </w:pPr>
          </w:p>
        </w:tc>
        <w:tc>
          <w:tcPr>
            <w:tcW w:w="8343" w:type="dxa"/>
            <w:vAlign w:val="center"/>
          </w:tcPr>
          <w:p w14:paraId="20CD0587" w14:textId="4E580F2A" w:rsidR="0094521F" w:rsidRPr="0094521F" w:rsidRDefault="0094521F" w:rsidP="0094521F">
            <w:pPr>
              <w:spacing w:after="0" w:line="240" w:lineRule="auto"/>
              <w:rPr>
                <w:rFonts w:ascii="Arial" w:eastAsia="Times New Roman" w:hAnsi="Arial" w:cs="Arial"/>
                <w:b/>
                <w:sz w:val="22"/>
                <w:szCs w:val="22"/>
              </w:rPr>
            </w:pPr>
            <w:r w:rsidRPr="0094521F">
              <w:rPr>
                <w:rFonts w:ascii="Arial" w:hAnsi="Arial" w:cs="Arial"/>
                <w:color w:val="000000"/>
                <w:sz w:val="22"/>
                <w:szCs w:val="22"/>
              </w:rPr>
              <w:t xml:space="preserve">Describe Administrative and Indirect Costs: Shared costs that cannot be directly assigned to a </w:t>
            </w:r>
            <w:proofErr w:type="gramStart"/>
            <w:r w:rsidRPr="0094521F">
              <w:rPr>
                <w:rFonts w:ascii="Arial" w:hAnsi="Arial" w:cs="Arial"/>
                <w:color w:val="000000"/>
                <w:sz w:val="22"/>
                <w:szCs w:val="22"/>
              </w:rPr>
              <w:t xml:space="preserve">particular </w:t>
            </w:r>
            <w:r w:rsidR="00872A88" w:rsidRPr="0094521F">
              <w:rPr>
                <w:rFonts w:ascii="Arial" w:hAnsi="Arial" w:cs="Arial"/>
                <w:color w:val="000000"/>
                <w:sz w:val="22"/>
                <w:szCs w:val="22"/>
              </w:rPr>
              <w:t>activity</w:t>
            </w:r>
            <w:proofErr w:type="gramEnd"/>
            <w:r w:rsidR="00872A88" w:rsidRPr="0094521F">
              <w:rPr>
                <w:rFonts w:ascii="Arial" w:hAnsi="Arial" w:cs="Arial"/>
                <w:color w:val="000000"/>
                <w:sz w:val="22"/>
                <w:szCs w:val="22"/>
              </w:rPr>
              <w:t xml:space="preserve"> but</w:t>
            </w:r>
            <w:r w:rsidRPr="0094521F">
              <w:rPr>
                <w:rFonts w:ascii="Arial" w:hAnsi="Arial" w:cs="Arial"/>
                <w:color w:val="000000"/>
                <w:sz w:val="22"/>
                <w:szCs w:val="22"/>
              </w:rPr>
              <w:t xml:space="preserve"> are necessary to the operation of the Agency and the performance of the program. The costs of operating and maintaining facilities, accounting services and administrative salaries are examples of indirect costs. Indirect costs should be calculated as a percentage of salaries and benefits and operating expenses. If an agency uses an indirect cost rate above 10%, a Cost Allocation Plan that supports a higher indirect cost rate must be provided. Subcontractors are generally not included in the indirect cost calculation. </w:t>
            </w:r>
            <w:r w:rsidRPr="0094521F">
              <w:rPr>
                <w:rFonts w:ascii="Arial" w:hAnsi="Arial" w:cs="Arial"/>
                <w:sz w:val="22"/>
                <w:szCs w:val="22"/>
              </w:rPr>
              <w:t xml:space="preserve">The Potential Contractor must provide its Cost Allocation plan if the proposal contains funding for indirect or administrative overhead costs (include as an attachment).  </w:t>
            </w:r>
          </w:p>
          <w:p w14:paraId="79CF6C3C" w14:textId="17CA8F53" w:rsidR="0094521F" w:rsidRPr="0094521F" w:rsidRDefault="0094521F" w:rsidP="0094521F">
            <w:pPr>
              <w:spacing w:after="0" w:line="240" w:lineRule="auto"/>
              <w:rPr>
                <w:rFonts w:ascii="Arial" w:hAnsi="Arial" w:cs="Arial"/>
                <w:sz w:val="22"/>
                <w:szCs w:val="22"/>
              </w:rPr>
            </w:pPr>
          </w:p>
        </w:tc>
      </w:tr>
    </w:tbl>
    <w:p w14:paraId="48B929A4" w14:textId="77777777" w:rsidR="00860F2D" w:rsidRPr="007479E0" w:rsidRDefault="00860F2D" w:rsidP="00860F2D">
      <w:pPr>
        <w:rPr>
          <w:sz w:val="18"/>
        </w:rPr>
      </w:pPr>
    </w:p>
    <w:p w14:paraId="3861D3D9" w14:textId="77777777" w:rsidR="00EA1F97" w:rsidRDefault="007B4513" w:rsidP="00EA1F97">
      <w:pPr>
        <w:tabs>
          <w:tab w:val="left" w:pos="3808"/>
        </w:tabs>
        <w:spacing w:after="0"/>
        <w:rPr>
          <w:sz w:val="18"/>
        </w:rPr>
      </w:pPr>
      <w:r w:rsidRPr="007479E0">
        <w:rPr>
          <w:rFonts w:ascii="Arial" w:hAnsi="Arial" w:cs="Arial"/>
          <w:sz w:val="18"/>
        </w:rPr>
        <w:tab/>
      </w:r>
    </w:p>
    <w:p w14:paraId="027F490E" w14:textId="0632C506" w:rsidR="00860F2D" w:rsidRPr="006C6036" w:rsidRDefault="00860F2D" w:rsidP="006C6036">
      <w:pPr>
        <w:spacing w:after="160" w:line="259" w:lineRule="auto"/>
        <w:rPr>
          <w:sz w:val="18"/>
        </w:rPr>
      </w:pPr>
    </w:p>
    <w:sectPr w:rsidR="00860F2D" w:rsidRPr="006C603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5B8B4" w14:textId="77777777" w:rsidR="00A11B01" w:rsidRDefault="00A11B01">
      <w:pPr>
        <w:spacing w:after="0" w:line="240" w:lineRule="auto"/>
      </w:pPr>
      <w:r>
        <w:separator/>
      </w:r>
    </w:p>
  </w:endnote>
  <w:endnote w:type="continuationSeparator" w:id="0">
    <w:p w14:paraId="1B141BF8" w14:textId="77777777" w:rsidR="00A11B01" w:rsidRDefault="00A11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013666"/>
      <w:docPartObj>
        <w:docPartGallery w:val="Page Numbers (Bottom of Page)"/>
        <w:docPartUnique/>
      </w:docPartObj>
    </w:sdtPr>
    <w:sdtEndPr>
      <w:rPr>
        <w:noProof/>
      </w:rPr>
    </w:sdtEndPr>
    <w:sdtContent>
      <w:p w14:paraId="669D0AC6" w14:textId="23A01F95" w:rsidR="00462766" w:rsidRPr="009360E4" w:rsidRDefault="00462766" w:rsidP="00860F2D">
        <w:pPr>
          <w:pStyle w:val="Footer"/>
          <w:jc w:val="center"/>
        </w:pPr>
      </w:p>
      <w:p w14:paraId="31B333AF" w14:textId="77777777" w:rsidR="00462766" w:rsidRDefault="00462766" w:rsidP="00860F2D">
        <w:pPr>
          <w:pStyle w:val="Footer"/>
          <w:jc w:val="center"/>
        </w:pPr>
        <w:r>
          <w:rPr>
            <w:noProof/>
          </w:rPr>
          <mc:AlternateContent>
            <mc:Choice Requires="wps">
              <w:drawing>
                <wp:inline distT="0" distB="0" distL="0" distR="0" wp14:anchorId="2974B92D" wp14:editId="7DF0B774">
                  <wp:extent cx="5467350" cy="45085"/>
                  <wp:effectExtent l="9525" t="9525" r="0" b="2540"/>
                  <wp:docPr id="9" name="Flowchart: Decision 9"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084152A" id="_x0000_t110" coordsize="21600,21600" o:spt="110" path="m10800,l,10800,10800,21600,21600,10800xe">
                  <v:stroke joinstyle="miter"/>
                  <v:path gradientshapeok="t" o:connecttype="rect" textboxrect="5400,5400,16200,16200"/>
                </v:shapetype>
                <v:shape id="Flowchart: Decision 9"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Qo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qzE&#10;OUaKtNCiSuqeNsS4Aq04Fb6zCIyMWwrErcW2cajRRtxr5Yj0DPadLSDRbXdjPAe2W2v61SKlrxui&#10;tvzSGN03nDDAnXj/6FmAP1gIRZv+vWYAgOycDmQeatOiWoruiw/0qYEwdAjduzt1jx8covAxS2fz&#10;Vxk0mYItzeJFFu4ihU/jgztj3RuuW+Q3Ja6hTgBo3LHKcAPZr63zGB/9QyxxrhJSjrHSvdXmPgTU&#10;22tpQtlmu4Et2hOvtfAbAZxcNr/1rcJv9B1d/PXjlT63VH5V2kMYwA1foHaA622ehSC4hzyZpvHV&#10;NJ9Us8V8klZpNsnn8WISJ/lVPovTPF1V3z30JC0awRhXa6H4UfxJ+nfiGp/hINsgf9SDiLJ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XvrQo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42D28DAD" w14:textId="0693BD57" w:rsidR="00462766" w:rsidRPr="00CD4835" w:rsidRDefault="00462766" w:rsidP="00860F2D">
        <w:pPr>
          <w:pStyle w:val="Footer"/>
          <w:tabs>
            <w:tab w:val="left" w:pos="2562"/>
            <w:tab w:val="center" w:pos="4710"/>
          </w:tabs>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8F32C" w14:textId="77777777" w:rsidR="00A11B01" w:rsidRDefault="00A11B01">
      <w:pPr>
        <w:spacing w:after="0" w:line="240" w:lineRule="auto"/>
      </w:pPr>
      <w:r>
        <w:separator/>
      </w:r>
    </w:p>
  </w:footnote>
  <w:footnote w:type="continuationSeparator" w:id="0">
    <w:p w14:paraId="798F55B7" w14:textId="77777777" w:rsidR="00A11B01" w:rsidRDefault="00A11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2911"/>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D92764"/>
    <w:multiLevelType w:val="multilevel"/>
    <w:tmpl w:val="9A8C8740"/>
    <w:lvl w:ilvl="0">
      <w:start w:val="1"/>
      <w:numFmt w:val="decimal"/>
      <w:pStyle w:val="ATTACHMENTNew"/>
      <w:suff w:val="space"/>
      <w:lvlText w:val="EXHIBIT %1:"/>
      <w:lvlJc w:val="left"/>
      <w:pPr>
        <w:ind w:left="729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ExhibitNew3"/>
      <w:lvlText w:val=""/>
      <w:lvlJc w:val="left"/>
      <w:pPr>
        <w:ind w:left="990" w:hanging="360"/>
      </w:pPr>
      <w:rPr>
        <w:rFonts w:hint="default"/>
      </w:rPr>
    </w:lvl>
    <w:lvl w:ilvl="2">
      <w:start w:val="1"/>
      <w:numFmt w:val="lowerRoman"/>
      <w:lvlText w:val="%3)"/>
      <w:lvlJc w:val="left"/>
      <w:pPr>
        <w:ind w:left="1350" w:hanging="360"/>
      </w:pPr>
      <w:rPr>
        <w:rFonts w:hint="default"/>
      </w:rPr>
    </w:lvl>
    <w:lvl w:ilvl="3">
      <w:start w:val="1"/>
      <w:numFmt w:val="decimal"/>
      <w:lvlText w:val="(%4)"/>
      <w:lvlJc w:val="left"/>
      <w:pPr>
        <w:ind w:left="1710" w:hanging="360"/>
      </w:pPr>
      <w:rPr>
        <w:rFonts w:hint="default"/>
      </w:rPr>
    </w:lvl>
    <w:lvl w:ilvl="4">
      <w:start w:val="1"/>
      <w:numFmt w:val="lowerLetter"/>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2" w15:restartNumberingAfterBreak="0">
    <w:nsid w:val="111871CA"/>
    <w:multiLevelType w:val="hybridMultilevel"/>
    <w:tmpl w:val="4FC0F7E2"/>
    <w:lvl w:ilvl="0" w:tplc="04090019">
      <w:start w:val="1"/>
      <w:numFmt w:val="lowerLetter"/>
      <w:lvlText w:val="%1."/>
      <w:lvlJc w:val="left"/>
      <w:pPr>
        <w:ind w:left="360" w:hanging="360"/>
      </w:pPr>
    </w:lvl>
    <w:lvl w:ilvl="1" w:tplc="04090013">
      <w:start w:val="1"/>
      <w:numFmt w:val="upperRoman"/>
      <w:lvlText w:val="%2."/>
      <w:lvlJc w:val="right"/>
      <w:pPr>
        <w:ind w:left="1080" w:hanging="360"/>
      </w:pPr>
    </w:lvl>
    <w:lvl w:ilvl="2" w:tplc="75BE7C36">
      <w:start w:val="1"/>
      <w:numFmt w:val="decimal"/>
      <w:lvlText w:val="%3."/>
      <w:lvlJc w:val="left"/>
      <w:pPr>
        <w:ind w:left="1980" w:hanging="360"/>
      </w:pPr>
      <w:rPr>
        <w:rFonts w:hint="default"/>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7156C3"/>
    <w:multiLevelType w:val="hybridMultilevel"/>
    <w:tmpl w:val="7D5E1A34"/>
    <w:lvl w:ilvl="0" w:tplc="AD901E4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15:restartNumberingAfterBreak="0">
    <w:nsid w:val="1A393A94"/>
    <w:multiLevelType w:val="hybridMultilevel"/>
    <w:tmpl w:val="81867898"/>
    <w:lvl w:ilvl="0" w:tplc="04090019">
      <w:start w:val="1"/>
      <w:numFmt w:val="lowerLetter"/>
      <w:lvlText w:val="%1."/>
      <w:lvlJc w:val="left"/>
      <w:pPr>
        <w:ind w:left="1440" w:hanging="360"/>
      </w:pPr>
    </w:lvl>
    <w:lvl w:ilvl="1" w:tplc="0409001B">
      <w:start w:val="1"/>
      <w:numFmt w:val="lowerRoman"/>
      <w:lvlText w:val="%2."/>
      <w:lvlJc w:val="right"/>
      <w:pPr>
        <w:ind w:left="1350" w:hanging="360"/>
      </w:pPr>
    </w:lvl>
    <w:lvl w:ilvl="2" w:tplc="D8168370">
      <w:start w:val="5"/>
      <w:numFmt w:val="bullet"/>
      <w:lvlText w:val="-"/>
      <w:lvlJc w:val="left"/>
      <w:pPr>
        <w:ind w:left="3060" w:hanging="360"/>
      </w:pPr>
      <w:rPr>
        <w:rFonts w:ascii="Arial" w:eastAsia="Times New Roman" w:hAnsi="Arial" w:cs="Arial"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23C332AF"/>
    <w:multiLevelType w:val="hybridMultilevel"/>
    <w:tmpl w:val="71FC3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6780C"/>
    <w:multiLevelType w:val="hybridMultilevel"/>
    <w:tmpl w:val="90DE0E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FE78AB"/>
    <w:multiLevelType w:val="hybridMultilevel"/>
    <w:tmpl w:val="EB6AE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31E72"/>
    <w:multiLevelType w:val="hybridMultilevel"/>
    <w:tmpl w:val="8FFAD2D4"/>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26C1AE4"/>
    <w:multiLevelType w:val="hybridMultilevel"/>
    <w:tmpl w:val="C5189FF4"/>
    <w:lvl w:ilvl="0" w:tplc="F3F6CFAC">
      <w:start w:val="1"/>
      <w:numFmt w:val="decimal"/>
      <w:lvlText w:val="%1."/>
      <w:lvlJc w:val="left"/>
      <w:pPr>
        <w:ind w:left="720" w:hanging="360"/>
      </w:pPr>
      <w:rPr>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72198"/>
    <w:multiLevelType w:val="hybridMultilevel"/>
    <w:tmpl w:val="98E88736"/>
    <w:lvl w:ilvl="0" w:tplc="0409000F">
      <w:start w:val="1"/>
      <w:numFmt w:val="decimal"/>
      <w:lvlText w:val="%1."/>
      <w:lvlJc w:val="left"/>
      <w:pPr>
        <w:ind w:left="1080" w:hanging="360"/>
      </w:pPr>
      <w:rPr>
        <w:rFonts w:hint="default"/>
      </w:rPr>
    </w:lvl>
    <w:lvl w:ilvl="1" w:tplc="04090019">
      <w:start w:val="1"/>
      <w:numFmt w:val="lowerLetter"/>
      <w:lvlText w:val="%2."/>
      <w:lvlJc w:val="left"/>
      <w:pPr>
        <w:ind w:left="540" w:hanging="360"/>
      </w:pPr>
    </w:lvl>
    <w:lvl w:ilvl="2" w:tplc="04090019">
      <w:start w:val="1"/>
      <w:numFmt w:val="lowerLetter"/>
      <w:lvlText w:val="%3."/>
      <w:lvlJc w:val="left"/>
      <w:pPr>
        <w:ind w:left="1260" w:hanging="180"/>
      </w:pPr>
    </w:lvl>
    <w:lvl w:ilvl="3" w:tplc="0409000F">
      <w:start w:val="1"/>
      <w:numFmt w:val="decimal"/>
      <w:lvlText w:val="%4."/>
      <w:lvlJc w:val="left"/>
      <w:pPr>
        <w:ind w:left="1980" w:hanging="360"/>
      </w:pPr>
    </w:lvl>
    <w:lvl w:ilvl="4" w:tplc="04090019">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15:restartNumberingAfterBreak="0">
    <w:nsid w:val="4F7E58C6"/>
    <w:multiLevelType w:val="hybridMultilevel"/>
    <w:tmpl w:val="47C6EA5E"/>
    <w:lvl w:ilvl="0" w:tplc="04090019">
      <w:start w:val="1"/>
      <w:numFmt w:val="lowerLetter"/>
      <w:lvlText w:val="%1."/>
      <w:lvlJc w:val="left"/>
      <w:pPr>
        <w:ind w:left="720" w:hanging="360"/>
      </w:pPr>
    </w:lvl>
    <w:lvl w:ilvl="1" w:tplc="3DC2D0A6">
      <w:start w:val="9"/>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198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A5A79A7"/>
    <w:multiLevelType w:val="hybridMultilevel"/>
    <w:tmpl w:val="B01C8D56"/>
    <w:lvl w:ilvl="0" w:tplc="0409000F">
      <w:start w:val="1"/>
      <w:numFmt w:val="decimal"/>
      <w:lvlText w:val="%1."/>
      <w:lvlJc w:val="left"/>
      <w:pPr>
        <w:ind w:left="990" w:hanging="360"/>
      </w:pPr>
      <w:rPr>
        <w:b w:val="0"/>
        <w:i w:val="0"/>
      </w:rPr>
    </w:lvl>
    <w:lvl w:ilvl="1" w:tplc="04090019">
      <w:start w:val="1"/>
      <w:numFmt w:val="lowerLetter"/>
      <w:lvlText w:val="%2."/>
      <w:lvlJc w:val="left"/>
      <w:pPr>
        <w:ind w:left="990" w:hanging="360"/>
      </w:pPr>
    </w:lvl>
    <w:lvl w:ilvl="2" w:tplc="0409000F">
      <w:start w:val="1"/>
      <w:numFmt w:val="decimal"/>
      <w:lvlText w:val="%3."/>
      <w:lvlJc w:val="left"/>
      <w:pPr>
        <w:ind w:left="1710" w:hanging="180"/>
      </w:pPr>
      <w:rPr>
        <w:b w:val="0"/>
      </w:rPr>
    </w:lvl>
    <w:lvl w:ilvl="3" w:tplc="04090019">
      <w:start w:val="1"/>
      <w:numFmt w:val="lowerLetter"/>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5E217444"/>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0903E02"/>
    <w:multiLevelType w:val="hybridMultilevel"/>
    <w:tmpl w:val="33907988"/>
    <w:lvl w:ilvl="0" w:tplc="04090019">
      <w:start w:val="1"/>
      <w:numFmt w:val="lowerLetter"/>
      <w:lvlText w:val="%1."/>
      <w:lvlJc w:val="left"/>
      <w:pPr>
        <w:ind w:left="1440" w:hanging="360"/>
      </w:pPr>
    </w:lvl>
    <w:lvl w:ilvl="1" w:tplc="E0AA6E80">
      <w:start w:val="1"/>
      <w:numFmt w:val="lowerRoman"/>
      <w:lvlText w:val="%2."/>
      <w:lvlJc w:val="right"/>
      <w:pPr>
        <w:ind w:left="1350" w:hanging="360"/>
      </w:pPr>
      <w:rPr>
        <w:b w:val="0"/>
      </w:rPr>
    </w:lvl>
    <w:lvl w:ilvl="2" w:tplc="AD901E46">
      <w:start w:val="1"/>
      <w:numFmt w:val="decimal"/>
      <w:lvlText w:val="%3)"/>
      <w:lvlJc w:val="left"/>
      <w:pPr>
        <w:ind w:left="2520" w:hanging="720"/>
      </w:pPr>
    </w:lvl>
    <w:lvl w:ilvl="3" w:tplc="09F09F56">
      <w:start w:val="3"/>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677368B3"/>
    <w:multiLevelType w:val="hybridMultilevel"/>
    <w:tmpl w:val="49B036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027476"/>
    <w:multiLevelType w:val="hybridMultilevel"/>
    <w:tmpl w:val="D2DE0D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D97A30"/>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DDF265C"/>
    <w:multiLevelType w:val="hybridMultilevel"/>
    <w:tmpl w:val="5B2AD70C"/>
    <w:lvl w:ilvl="0" w:tplc="04090001">
      <w:start w:val="1"/>
      <w:numFmt w:val="bullet"/>
      <w:lvlText w:val=""/>
      <w:lvlJc w:val="left"/>
      <w:pPr>
        <w:ind w:left="1080" w:hanging="360"/>
      </w:pPr>
      <w:rPr>
        <w:rFonts w:ascii="Symbol" w:hAnsi="Symbol" w:hint="default"/>
      </w:rPr>
    </w:lvl>
    <w:lvl w:ilvl="1" w:tplc="04090013">
      <w:start w:val="1"/>
      <w:numFmt w:val="upperRoman"/>
      <w:lvlText w:val="%2."/>
      <w:lvlJc w:val="right"/>
      <w:pPr>
        <w:ind w:left="1800" w:hanging="360"/>
      </w:pPr>
    </w:lvl>
    <w:lvl w:ilvl="2" w:tplc="EB4C5AB6">
      <w:start w:val="1"/>
      <w:numFmt w:val="bullet"/>
      <w:lvlText w:val="-"/>
      <w:lvlJc w:val="left"/>
      <w:pPr>
        <w:ind w:left="2700" w:hanging="360"/>
      </w:pPr>
      <w:rPr>
        <w:rFonts w:ascii="Arial" w:eastAsia="Arial"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18"/>
  </w:num>
  <w:num w:numId="4">
    <w:abstractNumId w:val="16"/>
  </w:num>
  <w:num w:numId="5">
    <w:abstractNumId w:val="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10"/>
  </w:num>
  <w:num w:numId="17">
    <w:abstractNumId w:val="7"/>
  </w:num>
  <w:num w:numId="18">
    <w:abstractNumId w:val="12"/>
  </w:num>
  <w:num w:numId="1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2D"/>
    <w:rsid w:val="000239B4"/>
    <w:rsid w:val="00066A46"/>
    <w:rsid w:val="000748AC"/>
    <w:rsid w:val="000A519F"/>
    <w:rsid w:val="000D60D7"/>
    <w:rsid w:val="000E055C"/>
    <w:rsid w:val="001105F1"/>
    <w:rsid w:val="0012517C"/>
    <w:rsid w:val="00142B0D"/>
    <w:rsid w:val="00144B4B"/>
    <w:rsid w:val="00212264"/>
    <w:rsid w:val="00242EB6"/>
    <w:rsid w:val="002F437D"/>
    <w:rsid w:val="0034206F"/>
    <w:rsid w:val="00393B80"/>
    <w:rsid w:val="003979C7"/>
    <w:rsid w:val="003F20B0"/>
    <w:rsid w:val="00414984"/>
    <w:rsid w:val="00442B09"/>
    <w:rsid w:val="00457EC7"/>
    <w:rsid w:val="00462766"/>
    <w:rsid w:val="00497BE6"/>
    <w:rsid w:val="004A79F2"/>
    <w:rsid w:val="004E54C9"/>
    <w:rsid w:val="00512B47"/>
    <w:rsid w:val="00513102"/>
    <w:rsid w:val="00520268"/>
    <w:rsid w:val="00576A54"/>
    <w:rsid w:val="005D0EE2"/>
    <w:rsid w:val="00637FEA"/>
    <w:rsid w:val="006C6036"/>
    <w:rsid w:val="0072232D"/>
    <w:rsid w:val="007614F5"/>
    <w:rsid w:val="00761665"/>
    <w:rsid w:val="007862C8"/>
    <w:rsid w:val="007969AD"/>
    <w:rsid w:val="007A5057"/>
    <w:rsid w:val="007B4513"/>
    <w:rsid w:val="007B6DAD"/>
    <w:rsid w:val="007C73AF"/>
    <w:rsid w:val="00812A9A"/>
    <w:rsid w:val="00860F2D"/>
    <w:rsid w:val="00872A88"/>
    <w:rsid w:val="008950A2"/>
    <w:rsid w:val="00895978"/>
    <w:rsid w:val="008B6AFB"/>
    <w:rsid w:val="008C4708"/>
    <w:rsid w:val="008E0AA3"/>
    <w:rsid w:val="00906D87"/>
    <w:rsid w:val="00934B7A"/>
    <w:rsid w:val="0094521F"/>
    <w:rsid w:val="00990A8E"/>
    <w:rsid w:val="009A34A4"/>
    <w:rsid w:val="00A11B01"/>
    <w:rsid w:val="00A340E8"/>
    <w:rsid w:val="00A87210"/>
    <w:rsid w:val="00AA0A80"/>
    <w:rsid w:val="00AE4035"/>
    <w:rsid w:val="00B20DB7"/>
    <w:rsid w:val="00B2662F"/>
    <w:rsid w:val="00BB1954"/>
    <w:rsid w:val="00BF2601"/>
    <w:rsid w:val="00C50053"/>
    <w:rsid w:val="00C856CD"/>
    <w:rsid w:val="00CA3367"/>
    <w:rsid w:val="00CC2579"/>
    <w:rsid w:val="00CF2397"/>
    <w:rsid w:val="00CF6228"/>
    <w:rsid w:val="00D53C04"/>
    <w:rsid w:val="00D70221"/>
    <w:rsid w:val="00D70C49"/>
    <w:rsid w:val="00DC1BAC"/>
    <w:rsid w:val="00E43F00"/>
    <w:rsid w:val="00E5713E"/>
    <w:rsid w:val="00E65A5E"/>
    <w:rsid w:val="00E74D61"/>
    <w:rsid w:val="00E83FA0"/>
    <w:rsid w:val="00EA1F97"/>
    <w:rsid w:val="00EB4B91"/>
    <w:rsid w:val="00F3052A"/>
    <w:rsid w:val="00F8475E"/>
    <w:rsid w:val="00F85BB9"/>
    <w:rsid w:val="00FA0D56"/>
    <w:rsid w:val="00FA133F"/>
    <w:rsid w:val="00FA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EEB8"/>
  <w15:docId w15:val="{C183F3EE-2C01-4D19-B7D6-C0D7A1F7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0F2D"/>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860F2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0F2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60F2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860F2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60F2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60F2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60F2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60F2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60F2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F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0F2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60F2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860F2D"/>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860F2D"/>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860F2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60F2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60F2D"/>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860F2D"/>
    <w:rPr>
      <w:rFonts w:asciiTheme="majorHAnsi" w:eastAsiaTheme="majorEastAsia" w:hAnsiTheme="majorHAnsi" w:cstheme="majorBidi"/>
      <w:b/>
      <w:bCs/>
      <w:i/>
      <w:iCs/>
      <w:color w:val="44546A" w:themeColor="text2"/>
      <w:sz w:val="20"/>
      <w:szCs w:val="20"/>
    </w:rPr>
  </w:style>
  <w:style w:type="paragraph" w:styleId="Header">
    <w:name w:val="header"/>
    <w:basedOn w:val="Normal"/>
    <w:link w:val="HeaderChar"/>
    <w:uiPriority w:val="99"/>
    <w:unhideWhenUsed/>
    <w:rsid w:val="00860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F2D"/>
    <w:rPr>
      <w:rFonts w:eastAsiaTheme="minorEastAsia"/>
      <w:sz w:val="20"/>
      <w:szCs w:val="20"/>
    </w:rPr>
  </w:style>
  <w:style w:type="paragraph" w:styleId="Footer">
    <w:name w:val="footer"/>
    <w:basedOn w:val="Normal"/>
    <w:link w:val="FooterChar"/>
    <w:uiPriority w:val="99"/>
    <w:unhideWhenUsed/>
    <w:rsid w:val="00860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F2D"/>
    <w:rPr>
      <w:rFonts w:eastAsiaTheme="minorEastAsia"/>
      <w:sz w:val="20"/>
      <w:szCs w:val="20"/>
    </w:rPr>
  </w:style>
  <w:style w:type="table" w:styleId="TableGrid">
    <w:name w:val="Table Grid"/>
    <w:aliases w:val="htable,Bordure,Table Definitions Grid"/>
    <w:basedOn w:val="TableNormal"/>
    <w:uiPriority w:val="59"/>
    <w:rsid w:val="00860F2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60F2D"/>
    <w:pPr>
      <w:ind w:left="720"/>
      <w:contextualSpacing/>
    </w:pPr>
  </w:style>
  <w:style w:type="character" w:customStyle="1" w:styleId="ListParagraphChar">
    <w:name w:val="List Paragraph Char"/>
    <w:basedOn w:val="DefaultParagraphFont"/>
    <w:link w:val="ListParagraph"/>
    <w:uiPriority w:val="34"/>
    <w:locked/>
    <w:rsid w:val="00860F2D"/>
    <w:rPr>
      <w:rFonts w:eastAsiaTheme="minorEastAsia"/>
      <w:sz w:val="20"/>
      <w:szCs w:val="20"/>
    </w:rPr>
  </w:style>
  <w:style w:type="paragraph" w:styleId="TOCHeading">
    <w:name w:val="TOC Heading"/>
    <w:basedOn w:val="Heading1"/>
    <w:next w:val="Normal"/>
    <w:uiPriority w:val="39"/>
    <w:unhideWhenUsed/>
    <w:qFormat/>
    <w:rsid w:val="00860F2D"/>
    <w:pPr>
      <w:outlineLvl w:val="9"/>
    </w:pPr>
  </w:style>
  <w:style w:type="character" w:customStyle="1" w:styleId="BalloonTextChar">
    <w:name w:val="Balloon Text Char"/>
    <w:basedOn w:val="DefaultParagraphFont"/>
    <w:link w:val="BalloonText"/>
    <w:uiPriority w:val="99"/>
    <w:semiHidden/>
    <w:rsid w:val="00860F2D"/>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860F2D"/>
    <w:pPr>
      <w:spacing w:after="0" w:line="240" w:lineRule="auto"/>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860F2D"/>
    <w:rPr>
      <w:rFonts w:eastAsiaTheme="minorEastAsia"/>
      <w:sz w:val="20"/>
      <w:szCs w:val="20"/>
    </w:rPr>
  </w:style>
  <w:style w:type="paragraph" w:styleId="CommentText">
    <w:name w:val="annotation text"/>
    <w:basedOn w:val="Normal"/>
    <w:link w:val="CommentTextChar"/>
    <w:uiPriority w:val="99"/>
    <w:semiHidden/>
    <w:unhideWhenUsed/>
    <w:rsid w:val="00860F2D"/>
    <w:pPr>
      <w:spacing w:line="240" w:lineRule="auto"/>
    </w:pPr>
  </w:style>
  <w:style w:type="character" w:customStyle="1" w:styleId="CommentSubjectChar">
    <w:name w:val="Comment Subject Char"/>
    <w:basedOn w:val="CommentTextChar"/>
    <w:link w:val="CommentSubject"/>
    <w:uiPriority w:val="99"/>
    <w:semiHidden/>
    <w:rsid w:val="00860F2D"/>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860F2D"/>
    <w:rPr>
      <w:b/>
      <w:bCs/>
    </w:rPr>
  </w:style>
  <w:style w:type="paragraph" w:styleId="Caption">
    <w:name w:val="caption"/>
    <w:basedOn w:val="Normal"/>
    <w:next w:val="Normal"/>
    <w:uiPriority w:val="99"/>
    <w:unhideWhenUsed/>
    <w:qFormat/>
    <w:rsid w:val="00860F2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60F2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60F2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60F2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60F2D"/>
    <w:rPr>
      <w:rFonts w:asciiTheme="majorHAnsi" w:eastAsiaTheme="majorEastAsia" w:hAnsiTheme="majorHAnsi" w:cstheme="majorBidi"/>
      <w:sz w:val="24"/>
      <w:szCs w:val="24"/>
    </w:rPr>
  </w:style>
  <w:style w:type="character" w:styleId="Strong">
    <w:name w:val="Strong"/>
    <w:basedOn w:val="DefaultParagraphFont"/>
    <w:uiPriority w:val="22"/>
    <w:qFormat/>
    <w:rsid w:val="00860F2D"/>
    <w:rPr>
      <w:b/>
      <w:bCs/>
    </w:rPr>
  </w:style>
  <w:style w:type="character" w:styleId="Emphasis">
    <w:name w:val="Emphasis"/>
    <w:basedOn w:val="DefaultParagraphFont"/>
    <w:uiPriority w:val="20"/>
    <w:qFormat/>
    <w:rsid w:val="00860F2D"/>
    <w:rPr>
      <w:i/>
      <w:iCs/>
    </w:rPr>
  </w:style>
  <w:style w:type="paragraph" w:styleId="NoSpacing">
    <w:name w:val="No Spacing"/>
    <w:uiPriority w:val="1"/>
    <w:qFormat/>
    <w:rsid w:val="00860F2D"/>
    <w:pPr>
      <w:spacing w:after="0" w:line="240" w:lineRule="auto"/>
    </w:pPr>
    <w:rPr>
      <w:rFonts w:eastAsiaTheme="minorEastAsia"/>
      <w:sz w:val="20"/>
      <w:szCs w:val="20"/>
    </w:rPr>
  </w:style>
  <w:style w:type="paragraph" w:styleId="Quote">
    <w:name w:val="Quote"/>
    <w:basedOn w:val="Normal"/>
    <w:next w:val="Normal"/>
    <w:link w:val="QuoteChar"/>
    <w:uiPriority w:val="29"/>
    <w:qFormat/>
    <w:rsid w:val="00860F2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60F2D"/>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60F2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60F2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60F2D"/>
    <w:rPr>
      <w:i/>
      <w:iCs/>
      <w:color w:val="404040" w:themeColor="text1" w:themeTint="BF"/>
    </w:rPr>
  </w:style>
  <w:style w:type="character" w:styleId="IntenseEmphasis">
    <w:name w:val="Intense Emphasis"/>
    <w:basedOn w:val="DefaultParagraphFont"/>
    <w:uiPriority w:val="21"/>
    <w:qFormat/>
    <w:rsid w:val="00860F2D"/>
    <w:rPr>
      <w:b/>
      <w:bCs/>
      <w:i/>
      <w:iCs/>
    </w:rPr>
  </w:style>
  <w:style w:type="character" w:styleId="SubtleReference">
    <w:name w:val="Subtle Reference"/>
    <w:basedOn w:val="DefaultParagraphFont"/>
    <w:uiPriority w:val="31"/>
    <w:qFormat/>
    <w:rsid w:val="00860F2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60F2D"/>
    <w:rPr>
      <w:b/>
      <w:bCs/>
      <w:smallCaps/>
      <w:spacing w:val="5"/>
      <w:u w:val="single"/>
    </w:rPr>
  </w:style>
  <w:style w:type="character" w:styleId="BookTitle">
    <w:name w:val="Book Title"/>
    <w:basedOn w:val="DefaultParagraphFont"/>
    <w:uiPriority w:val="33"/>
    <w:qFormat/>
    <w:rsid w:val="00860F2D"/>
    <w:rPr>
      <w:b/>
      <w:bCs/>
      <w:smallCaps/>
    </w:rPr>
  </w:style>
  <w:style w:type="paragraph" w:customStyle="1" w:styleId="ATTACHMENTNew">
    <w:name w:val="ATTACHMENTNew"/>
    <w:basedOn w:val="Normal"/>
    <w:link w:val="ATTACHMENTNewChar"/>
    <w:qFormat/>
    <w:rsid w:val="00860F2D"/>
    <w:pPr>
      <w:numPr>
        <w:numId w:val="1"/>
      </w:numPr>
      <w:spacing w:before="200" w:after="200" w:line="240" w:lineRule="auto"/>
      <w:jc w:val="center"/>
      <w:outlineLvl w:val="1"/>
    </w:pPr>
    <w:rPr>
      <w:rFonts w:ascii="Arial" w:eastAsiaTheme="minorHAnsi" w:hAnsi="Arial" w:cs="Times New Roman"/>
      <w:b/>
      <w:sz w:val="22"/>
      <w:szCs w:val="22"/>
    </w:rPr>
  </w:style>
  <w:style w:type="character" w:customStyle="1" w:styleId="ATTACHMENTNewChar">
    <w:name w:val="ATTACHMENTNew Char"/>
    <w:basedOn w:val="DefaultParagraphFont"/>
    <w:link w:val="ATTACHMENTNew"/>
    <w:rsid w:val="00860F2D"/>
    <w:rPr>
      <w:rFonts w:ascii="Arial" w:hAnsi="Arial" w:cs="Times New Roman"/>
      <w:b/>
    </w:rPr>
  </w:style>
  <w:style w:type="paragraph" w:customStyle="1" w:styleId="ExhibitNew3">
    <w:name w:val="ExhibitNew3"/>
    <w:basedOn w:val="ATTACHMENTNew"/>
    <w:qFormat/>
    <w:rsid w:val="00860F2D"/>
    <w:pPr>
      <w:numPr>
        <w:ilvl w:val="1"/>
      </w:numPr>
      <w:tabs>
        <w:tab w:val="num" w:pos="360"/>
      </w:tabs>
      <w:ind w:left="3220"/>
      <w:jc w:val="left"/>
      <w:outlineLvl w:val="2"/>
    </w:pPr>
  </w:style>
  <w:style w:type="paragraph" w:customStyle="1" w:styleId="Default">
    <w:name w:val="Default"/>
    <w:rsid w:val="00457EC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F62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12277">
      <w:bodyDiv w:val="1"/>
      <w:marLeft w:val="0"/>
      <w:marRight w:val="0"/>
      <w:marTop w:val="0"/>
      <w:marBottom w:val="0"/>
      <w:divBdr>
        <w:top w:val="none" w:sz="0" w:space="0" w:color="auto"/>
        <w:left w:val="none" w:sz="0" w:space="0" w:color="auto"/>
        <w:bottom w:val="none" w:sz="0" w:space="0" w:color="auto"/>
        <w:right w:val="none" w:sz="0" w:space="0" w:color="auto"/>
      </w:divBdr>
    </w:div>
    <w:div w:id="201403790">
      <w:bodyDiv w:val="1"/>
      <w:marLeft w:val="0"/>
      <w:marRight w:val="0"/>
      <w:marTop w:val="0"/>
      <w:marBottom w:val="0"/>
      <w:divBdr>
        <w:top w:val="none" w:sz="0" w:space="0" w:color="auto"/>
        <w:left w:val="none" w:sz="0" w:space="0" w:color="auto"/>
        <w:bottom w:val="none" w:sz="0" w:space="0" w:color="auto"/>
        <w:right w:val="none" w:sz="0" w:space="0" w:color="auto"/>
      </w:divBdr>
    </w:div>
    <w:div w:id="241835524">
      <w:bodyDiv w:val="1"/>
      <w:marLeft w:val="0"/>
      <w:marRight w:val="0"/>
      <w:marTop w:val="0"/>
      <w:marBottom w:val="0"/>
      <w:divBdr>
        <w:top w:val="none" w:sz="0" w:space="0" w:color="auto"/>
        <w:left w:val="none" w:sz="0" w:space="0" w:color="auto"/>
        <w:bottom w:val="none" w:sz="0" w:space="0" w:color="auto"/>
        <w:right w:val="none" w:sz="0" w:space="0" w:color="auto"/>
      </w:divBdr>
    </w:div>
    <w:div w:id="333341326">
      <w:bodyDiv w:val="1"/>
      <w:marLeft w:val="0"/>
      <w:marRight w:val="0"/>
      <w:marTop w:val="0"/>
      <w:marBottom w:val="0"/>
      <w:divBdr>
        <w:top w:val="none" w:sz="0" w:space="0" w:color="auto"/>
        <w:left w:val="none" w:sz="0" w:space="0" w:color="auto"/>
        <w:bottom w:val="none" w:sz="0" w:space="0" w:color="auto"/>
        <w:right w:val="none" w:sz="0" w:space="0" w:color="auto"/>
      </w:divBdr>
    </w:div>
    <w:div w:id="338043382">
      <w:bodyDiv w:val="1"/>
      <w:marLeft w:val="0"/>
      <w:marRight w:val="0"/>
      <w:marTop w:val="0"/>
      <w:marBottom w:val="0"/>
      <w:divBdr>
        <w:top w:val="none" w:sz="0" w:space="0" w:color="auto"/>
        <w:left w:val="none" w:sz="0" w:space="0" w:color="auto"/>
        <w:bottom w:val="none" w:sz="0" w:space="0" w:color="auto"/>
        <w:right w:val="none" w:sz="0" w:space="0" w:color="auto"/>
      </w:divBdr>
    </w:div>
    <w:div w:id="394207339">
      <w:bodyDiv w:val="1"/>
      <w:marLeft w:val="0"/>
      <w:marRight w:val="0"/>
      <w:marTop w:val="0"/>
      <w:marBottom w:val="0"/>
      <w:divBdr>
        <w:top w:val="none" w:sz="0" w:space="0" w:color="auto"/>
        <w:left w:val="none" w:sz="0" w:space="0" w:color="auto"/>
        <w:bottom w:val="none" w:sz="0" w:space="0" w:color="auto"/>
        <w:right w:val="none" w:sz="0" w:space="0" w:color="auto"/>
      </w:divBdr>
    </w:div>
    <w:div w:id="435487286">
      <w:bodyDiv w:val="1"/>
      <w:marLeft w:val="0"/>
      <w:marRight w:val="0"/>
      <w:marTop w:val="0"/>
      <w:marBottom w:val="0"/>
      <w:divBdr>
        <w:top w:val="none" w:sz="0" w:space="0" w:color="auto"/>
        <w:left w:val="none" w:sz="0" w:space="0" w:color="auto"/>
        <w:bottom w:val="none" w:sz="0" w:space="0" w:color="auto"/>
        <w:right w:val="none" w:sz="0" w:space="0" w:color="auto"/>
      </w:divBdr>
    </w:div>
    <w:div w:id="492834901">
      <w:bodyDiv w:val="1"/>
      <w:marLeft w:val="0"/>
      <w:marRight w:val="0"/>
      <w:marTop w:val="0"/>
      <w:marBottom w:val="0"/>
      <w:divBdr>
        <w:top w:val="none" w:sz="0" w:space="0" w:color="auto"/>
        <w:left w:val="none" w:sz="0" w:space="0" w:color="auto"/>
        <w:bottom w:val="none" w:sz="0" w:space="0" w:color="auto"/>
        <w:right w:val="none" w:sz="0" w:space="0" w:color="auto"/>
      </w:divBdr>
    </w:div>
    <w:div w:id="522743934">
      <w:bodyDiv w:val="1"/>
      <w:marLeft w:val="0"/>
      <w:marRight w:val="0"/>
      <w:marTop w:val="0"/>
      <w:marBottom w:val="0"/>
      <w:divBdr>
        <w:top w:val="none" w:sz="0" w:space="0" w:color="auto"/>
        <w:left w:val="none" w:sz="0" w:space="0" w:color="auto"/>
        <w:bottom w:val="none" w:sz="0" w:space="0" w:color="auto"/>
        <w:right w:val="none" w:sz="0" w:space="0" w:color="auto"/>
      </w:divBdr>
    </w:div>
    <w:div w:id="623462451">
      <w:bodyDiv w:val="1"/>
      <w:marLeft w:val="0"/>
      <w:marRight w:val="0"/>
      <w:marTop w:val="0"/>
      <w:marBottom w:val="0"/>
      <w:divBdr>
        <w:top w:val="none" w:sz="0" w:space="0" w:color="auto"/>
        <w:left w:val="none" w:sz="0" w:space="0" w:color="auto"/>
        <w:bottom w:val="none" w:sz="0" w:space="0" w:color="auto"/>
        <w:right w:val="none" w:sz="0" w:space="0" w:color="auto"/>
      </w:divBdr>
    </w:div>
    <w:div w:id="726341093">
      <w:bodyDiv w:val="1"/>
      <w:marLeft w:val="0"/>
      <w:marRight w:val="0"/>
      <w:marTop w:val="0"/>
      <w:marBottom w:val="0"/>
      <w:divBdr>
        <w:top w:val="none" w:sz="0" w:space="0" w:color="auto"/>
        <w:left w:val="none" w:sz="0" w:space="0" w:color="auto"/>
        <w:bottom w:val="none" w:sz="0" w:space="0" w:color="auto"/>
        <w:right w:val="none" w:sz="0" w:space="0" w:color="auto"/>
      </w:divBdr>
    </w:div>
    <w:div w:id="872770237">
      <w:bodyDiv w:val="1"/>
      <w:marLeft w:val="0"/>
      <w:marRight w:val="0"/>
      <w:marTop w:val="0"/>
      <w:marBottom w:val="0"/>
      <w:divBdr>
        <w:top w:val="none" w:sz="0" w:space="0" w:color="auto"/>
        <w:left w:val="none" w:sz="0" w:space="0" w:color="auto"/>
        <w:bottom w:val="none" w:sz="0" w:space="0" w:color="auto"/>
        <w:right w:val="none" w:sz="0" w:space="0" w:color="auto"/>
      </w:divBdr>
    </w:div>
    <w:div w:id="1049302695">
      <w:bodyDiv w:val="1"/>
      <w:marLeft w:val="0"/>
      <w:marRight w:val="0"/>
      <w:marTop w:val="0"/>
      <w:marBottom w:val="0"/>
      <w:divBdr>
        <w:top w:val="none" w:sz="0" w:space="0" w:color="auto"/>
        <w:left w:val="none" w:sz="0" w:space="0" w:color="auto"/>
        <w:bottom w:val="none" w:sz="0" w:space="0" w:color="auto"/>
        <w:right w:val="none" w:sz="0" w:space="0" w:color="auto"/>
      </w:divBdr>
    </w:div>
    <w:div w:id="1172184267">
      <w:bodyDiv w:val="1"/>
      <w:marLeft w:val="0"/>
      <w:marRight w:val="0"/>
      <w:marTop w:val="0"/>
      <w:marBottom w:val="0"/>
      <w:divBdr>
        <w:top w:val="none" w:sz="0" w:space="0" w:color="auto"/>
        <w:left w:val="none" w:sz="0" w:space="0" w:color="auto"/>
        <w:bottom w:val="none" w:sz="0" w:space="0" w:color="auto"/>
        <w:right w:val="none" w:sz="0" w:space="0" w:color="auto"/>
      </w:divBdr>
    </w:div>
    <w:div w:id="1599604675">
      <w:bodyDiv w:val="1"/>
      <w:marLeft w:val="0"/>
      <w:marRight w:val="0"/>
      <w:marTop w:val="0"/>
      <w:marBottom w:val="0"/>
      <w:divBdr>
        <w:top w:val="none" w:sz="0" w:space="0" w:color="auto"/>
        <w:left w:val="none" w:sz="0" w:space="0" w:color="auto"/>
        <w:bottom w:val="none" w:sz="0" w:space="0" w:color="auto"/>
        <w:right w:val="none" w:sz="0" w:space="0" w:color="auto"/>
      </w:divBdr>
    </w:div>
    <w:div w:id="1915704958">
      <w:bodyDiv w:val="1"/>
      <w:marLeft w:val="0"/>
      <w:marRight w:val="0"/>
      <w:marTop w:val="0"/>
      <w:marBottom w:val="0"/>
      <w:divBdr>
        <w:top w:val="none" w:sz="0" w:space="0" w:color="auto"/>
        <w:left w:val="none" w:sz="0" w:space="0" w:color="auto"/>
        <w:bottom w:val="none" w:sz="0" w:space="0" w:color="auto"/>
        <w:right w:val="none" w:sz="0" w:space="0" w:color="auto"/>
      </w:divBdr>
    </w:div>
    <w:div w:id="1944336347">
      <w:bodyDiv w:val="1"/>
      <w:marLeft w:val="0"/>
      <w:marRight w:val="0"/>
      <w:marTop w:val="0"/>
      <w:marBottom w:val="0"/>
      <w:divBdr>
        <w:top w:val="none" w:sz="0" w:space="0" w:color="auto"/>
        <w:left w:val="none" w:sz="0" w:space="0" w:color="auto"/>
        <w:bottom w:val="none" w:sz="0" w:space="0" w:color="auto"/>
        <w:right w:val="none" w:sz="0" w:space="0" w:color="auto"/>
      </w:divBdr>
    </w:div>
    <w:div w:id="2011836663">
      <w:bodyDiv w:val="1"/>
      <w:marLeft w:val="0"/>
      <w:marRight w:val="0"/>
      <w:marTop w:val="0"/>
      <w:marBottom w:val="0"/>
      <w:divBdr>
        <w:top w:val="none" w:sz="0" w:space="0" w:color="auto"/>
        <w:left w:val="none" w:sz="0" w:space="0" w:color="auto"/>
        <w:bottom w:val="none" w:sz="0" w:space="0" w:color="auto"/>
        <w:right w:val="none" w:sz="0" w:space="0" w:color="auto"/>
      </w:divBdr>
    </w:div>
    <w:div w:id="21196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0894597B44F4889FEE679019D056B" ma:contentTypeVersion="11" ma:contentTypeDescription="Create a new document." ma:contentTypeScope="" ma:versionID="e1de48d52079eee585df1618f6a3bad5">
  <xsd:schema xmlns:xsd="http://www.w3.org/2001/XMLSchema" xmlns:xs="http://www.w3.org/2001/XMLSchema" xmlns:p="http://schemas.microsoft.com/office/2006/metadata/properties" xmlns:ns3="39aca603-df79-4782-8dcf-76d427003b82" xmlns:ns4="bf302ee5-5866-45e5-b473-a49636af3164" targetNamespace="http://schemas.microsoft.com/office/2006/metadata/properties" ma:root="true" ma:fieldsID="7d6f548d50f7317e327ed268e4c720bd" ns3:_="" ns4:_="">
    <xsd:import namespace="39aca603-df79-4782-8dcf-76d427003b82"/>
    <xsd:import namespace="bf302ee5-5866-45e5-b473-a49636af31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ca603-df79-4782-8dcf-76d427003b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02ee5-5866-45e5-b473-a49636af316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3747B-B7CB-4035-9B47-56D9E9FCF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ca603-df79-4782-8dcf-76d427003b82"/>
    <ds:schemaRef ds:uri="bf302ee5-5866-45e5-b473-a49636af3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B0164-2E28-497A-86F9-2C0548288228}">
  <ds:schemaRefs>
    <ds:schemaRef ds:uri="http://schemas.microsoft.com/sharepoint/v3/contenttype/forms"/>
  </ds:schemaRefs>
</ds:datastoreItem>
</file>

<file path=customXml/itemProps3.xml><?xml version="1.0" encoding="utf-8"?>
<ds:datastoreItem xmlns:ds="http://schemas.openxmlformats.org/officeDocument/2006/customXml" ds:itemID="{16E38747-0CBD-4216-9C07-8D1A6DDDE71D}">
  <ds:schemaRefs>
    <ds:schemaRef ds:uri="http://purl.org/dc/elements/1.1/"/>
    <ds:schemaRef ds:uri="http://schemas.microsoft.com/office/infopath/2007/PartnerControls"/>
    <ds:schemaRef ds:uri="bf302ee5-5866-45e5-b473-a49636af3164"/>
    <ds:schemaRef ds:uri="http://purl.org/dc/terms/"/>
    <ds:schemaRef ds:uri="http://schemas.openxmlformats.org/package/2006/metadata/core-properties"/>
    <ds:schemaRef ds:uri="39aca603-df79-4782-8dcf-76d427003b82"/>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2942</Characters>
  <Application>Microsoft Office Word</Application>
  <DocSecurity>4</DocSecurity>
  <Lines>70</Lines>
  <Paragraphs>31</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 Tracy C.</dc:creator>
  <cp:lastModifiedBy>Johnson, Jr, James</cp:lastModifiedBy>
  <cp:revision>2</cp:revision>
  <cp:lastPrinted>2019-06-05T16:16:00Z</cp:lastPrinted>
  <dcterms:created xsi:type="dcterms:W3CDTF">2020-02-10T02:32:00Z</dcterms:created>
  <dcterms:modified xsi:type="dcterms:W3CDTF">2020-02-10T02:32:00Z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0x010100B0A0894597B44F4889FEE679019D056B</vt:lpwstr>
  </property>
</Properties>
</file>